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BURMISTRZ  OPALENICY</w:t>
      </w:r>
    </w:p>
    <w:p>
      <w:pPr>
        <w:pStyle w:val="Textbody"/>
        <w:spacing w:lineRule="auto" w:line="240"/>
        <w:jc w:val="center"/>
        <w:rPr/>
      </w:pPr>
      <w:r>
        <w:rPr>
          <w:rFonts w:ascii="Times New Roman" w:hAnsi="Times New Roman"/>
          <w:b/>
          <w:bCs/>
        </w:rPr>
        <w:t>OGŁASZA USTNY  PRZETARG  NIEOGRANICZONY</w:t>
      </w:r>
    </w:p>
    <w:p>
      <w:pPr>
        <w:pStyle w:val="Textbody"/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NA  SPRZEDAŻ  DZIAŁKI  NIEZABUDOWANEJ</w:t>
      </w:r>
    </w:p>
    <w:p>
      <w:pPr>
        <w:pStyle w:val="Standard"/>
        <w:tabs>
          <w:tab w:val="clear" w:pos="720"/>
          <w:tab w:val="left" w:pos="1004" w:leader="none"/>
        </w:tabs>
        <w:ind w:left="284" w:hanging="284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POŁOŻONEJ W MIEJSCOWOŚCI NIEGOLEW</w:t>
      </w:r>
      <w:r>
        <w:rPr>
          <w:rFonts w:ascii="Times New Roman" w:hAnsi="Times New Roman"/>
          <w:b/>
          <w:sz w:val="22"/>
          <w:szCs w:val="22"/>
        </w:rPr>
        <w:t>O</w:t>
      </w:r>
    </w:p>
    <w:tbl>
      <w:tblPr>
        <w:tblW w:w="10035" w:type="dxa"/>
        <w:jc w:val="left"/>
        <w:tblInd w:w="-15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48"/>
        <w:gridCol w:w="1806"/>
        <w:gridCol w:w="2"/>
        <w:gridCol w:w="1146"/>
        <w:gridCol w:w="2"/>
        <w:gridCol w:w="2716"/>
        <w:gridCol w:w="3"/>
        <w:gridCol w:w="2112"/>
      </w:tblGrid>
      <w:tr>
        <w:trPr>
          <w:cantSplit w:val="true"/>
        </w:trPr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</w:tcPr>
          <w:p>
            <w:pPr>
              <w:pStyle w:val="Standard"/>
              <w:tabs>
                <w:tab w:val="left" w:pos="720" w:leader="none"/>
              </w:tabs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55" w:right="-115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Powie-rzchnia</w:t>
            </w:r>
          </w:p>
          <w:p>
            <w:pPr>
              <w:pStyle w:val="Standard"/>
              <w:ind w:left="-55" w:right="-85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m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85" w:right="-55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Nr księgi wieczystej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70" w:right="-85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wywoławcza netto w zł</w:t>
            </w:r>
          </w:p>
        </w:tc>
      </w:tr>
      <w:tr>
        <w:trPr>
          <w:cantSplit w:val="true"/>
        </w:trPr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</w:tcPr>
          <w:p>
            <w:pPr>
              <w:pStyle w:val="Standard"/>
              <w:ind w:left="-34" w:right="-115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obręb i arkusz mapy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55" w:right="-115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20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obręb 0008 NIEGOLEWO, ark. mapy 3</w:t>
            </w:r>
          </w:p>
        </w:tc>
        <w:tc>
          <w:tcPr>
            <w:tcW w:w="1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118/2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color w:val="00000A"/>
                <w:kern w:val="2"/>
                <w:sz w:val="22"/>
                <w:szCs w:val="22"/>
                <w:lang w:val="pl-PL" w:eastAsia="zh-CN" w:bidi="hi-IN"/>
              </w:rPr>
              <w:t>2361</w:t>
            </w:r>
          </w:p>
        </w:tc>
        <w:tc>
          <w:tcPr>
            <w:tcW w:w="2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20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PO1N/00016978/3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ind w:left="-13" w:right="-36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" w:cs="Mangal" w:ascii="Times New Roman" w:hAnsi="Times New Roman"/>
                <w:color w:val="00000A"/>
                <w:kern w:val="2"/>
                <w:sz w:val="22"/>
                <w:szCs w:val="22"/>
                <w:lang w:val="pl-PL" w:eastAsia="zh-CN" w:bidi="hi-IN"/>
              </w:rPr>
              <w:t>74.500,00</w:t>
            </w:r>
          </w:p>
        </w:tc>
      </w:tr>
    </w:tbl>
    <w:p>
      <w:pPr>
        <w:pStyle w:val="Standard"/>
        <w:tabs>
          <w:tab w:val="clear" w:pos="720"/>
          <w:tab w:val="left" w:pos="1004" w:leader="none"/>
        </w:tabs>
        <w:ind w:left="284" w:hanging="284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Księga wieczysta prowadzona jest przez Sąd Rejonowy w Nowym Tomyślu, IV Wydział Ksiąg Wieczystych. </w:t>
      </w:r>
    </w:p>
    <w:p>
      <w:pPr>
        <w:pStyle w:val="Standard"/>
        <w:numPr>
          <w:ilvl w:val="0"/>
          <w:numId w:val="0"/>
        </w:numPr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Dział III i IV nie wykazuje obciążeń.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W miejscowym planie zagospodarowania przestrzennego przyjętego uchwałą nr XVIII/160/2001 Rady Miejskiej w Opalenicy z dnia 23 lutego 2001 w sprawie uchwalenia zmian miejscowego planu ogólnego zagospodarowania przestrzennego gminy Opalenica grunt, na którym położona jest działka nr 118/2 przeznaczona jest pod tereny zabudowy mieszkaniowej z działalnością gospodarczą, oznaczone na rysunku planu symbolem XXIX MG. </w:t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Zgodnie z w/w zmianą mpzp dopuszcza się budowę budynku mieszkalnego max. 2 kondygnacje, dach stromy kryty dachówką, bądź materiałem imitującym dachówkę; prowadzona działalność gospodarcza nie może kolidować z zabudową mieszkaniową.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60" w:leader="none"/>
          <w:tab w:val="left" w:pos="1080" w:leader="none"/>
        </w:tabs>
        <w:snapToGrid w:val="false"/>
        <w:ind w:left="284" w:hanging="284"/>
        <w:jc w:val="both"/>
        <w:textAlignment w:val="auto"/>
        <w:rPr>
          <w:b w:val="false"/>
          <w:b w:val="false"/>
          <w:bCs w:val="false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2"/>
          <w:sz w:val="22"/>
          <w:szCs w:val="22"/>
          <w:lang w:val="pl-PL" w:eastAsia="zh-CN" w:bidi="hi-IN"/>
        </w:rPr>
        <w:t>Termin zagospodarowania – od dnia zawarcia aktu notarialnego.</w:t>
      </w:r>
    </w:p>
    <w:p>
      <w:pPr>
        <w:pStyle w:val="Standard"/>
        <w:widowControl w:val="false"/>
        <w:numPr>
          <w:ilvl w:val="0"/>
          <w:numId w:val="1"/>
        </w:numPr>
        <w:suppressAutoHyphens w:val="true"/>
        <w:bidi w:val="0"/>
        <w:ind w:left="283" w:right="0" w:hanging="227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Opis nieruchomości – działka jest  niezabudowan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2"/>
          <w:sz w:val="22"/>
          <w:szCs w:val="22"/>
          <w:lang w:val="pl-PL" w:eastAsia="zh-CN" w:bidi="hi-IN"/>
        </w:rPr>
        <w:t xml:space="preserve">a i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posiada regularny kształt. Ponadto grunt przylega do drogi o nawierzchni bitumicznej, działki budowlanej niezabudowanej oraz terenów rolnych. W pobliżu znajdują się zabudowane i niezabudowane działki budowlane, park otaczający pałac oraz tereny rolne. Istnieje możliwość podłączenia do sieci elektrycznej, wodociągowej i gazowej.</w:t>
      </w:r>
    </w:p>
    <w:p>
      <w:pPr>
        <w:pStyle w:val="Standard"/>
        <w:widowControl w:val="false"/>
        <w:numPr>
          <w:ilvl w:val="0"/>
          <w:numId w:val="1"/>
        </w:numPr>
        <w:suppressAutoHyphens w:val="true"/>
        <w:bidi w:val="0"/>
        <w:ind w:left="340" w:right="0" w:hanging="340"/>
        <w:jc w:val="both"/>
        <w:textAlignment w:val="baseline"/>
        <w:rPr/>
      </w:pPr>
      <w:r>
        <w:rPr>
          <w:rFonts w:cs="Times New Roman" w:ascii="Times New Roman" w:hAnsi="Times New Roman"/>
          <w:sz w:val="22"/>
          <w:szCs w:val="22"/>
        </w:rPr>
        <w:t>Nieruchomość objęta jest umową dzierżawy. Sprzedaż w/w nieruchomości nastąpi bez rozwiązania tej umowy, zgodnie z  art. 678 § 1 w związku z art. 694 ustawy z dnia 23 kwietnia 1964 kodeks cywilny (t. j. Dz. U. z 2020 r., poz. 1740 i 2320) – w razie zbycia rzeczy najętej w czasie trwania umowy najmu, nabywca wstępuje w stosunek najmu w miejsce zbywcy. Umowa dzierżawy może być wypowiedziana z zachowaniem terminu wypowiedzenia zapisanego w umowie.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Przetarg odbędzie się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w dniu </w:t>
      </w:r>
      <w:r>
        <w:rPr>
          <w:rFonts w:eastAsia="SimSun" w:cs="Times New Roman" w:ascii="Times New Roman" w:hAnsi="Times New Roman"/>
          <w:b/>
          <w:color w:val="00000A"/>
          <w:kern w:val="2"/>
          <w:sz w:val="22"/>
          <w:szCs w:val="22"/>
          <w:u w:val="single"/>
          <w:lang w:val="pl-PL" w:eastAsia="zh-CN" w:bidi="hi-IN"/>
        </w:rPr>
        <w:t>10 maja 2021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 r. o godz. </w:t>
      </w:r>
      <w:r>
        <w:rPr>
          <w:rFonts w:eastAsia="SimSun" w:cs="Times New Roman" w:ascii="Times New Roman" w:hAnsi="Times New Roman"/>
          <w:b/>
          <w:color w:val="00000A"/>
          <w:kern w:val="2"/>
          <w:sz w:val="22"/>
          <w:szCs w:val="22"/>
          <w:u w:val="single"/>
          <w:lang w:val="pl-PL" w:eastAsia="zh-CN" w:bidi="hi-IN"/>
        </w:rPr>
        <w:t>9:40</w:t>
      </w:r>
      <w:r>
        <w:rPr>
          <w:rFonts w:eastAsia="SimSun" w:cs="Times New Roman" w:ascii="Times New Roman" w:hAnsi="Times New Roman"/>
          <w:b/>
          <w:color w:val="00000A"/>
          <w:kern w:val="2"/>
          <w:sz w:val="22"/>
          <w:szCs w:val="22"/>
          <w:u w:val="none"/>
          <w:lang w:val="pl-PL" w:eastAsia="zh-CN" w:bidi="hi-IN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w</w:t>
      </w:r>
      <w:r>
        <w:rPr>
          <w:rFonts w:cs="Times New Roman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 xml:space="preserve"> auli budynku OSP w Opalenicy</w:t>
        <w:br/>
        <w:t>przy ul. Młyńskiej 61.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Do ceny osiągniętej w przetargu zostanie doliczony 23% VAT.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Wadium w wysokości 10% ceny wywoławczej działki należy wpłacać na konto Gminy Opalenica PKO BP S.A. nr 98 1020 4144 0000 6202 0007 2090 najpóźniej </w:t>
      </w:r>
      <w:r>
        <w:rPr>
          <w:rFonts w:cs="Times New Roman" w:ascii="Times New Roman" w:hAnsi="Times New Roman"/>
          <w:b/>
          <w:sz w:val="22"/>
          <w:szCs w:val="22"/>
        </w:rPr>
        <w:t xml:space="preserve">do dnia </w:t>
      </w:r>
      <w:r>
        <w:rPr>
          <w:rFonts w:eastAsia="SimSun" w:cs="Times New Roman" w:ascii="Times New Roman" w:hAnsi="Times New Roman"/>
          <w:b/>
          <w:color w:val="00000A"/>
          <w:kern w:val="2"/>
          <w:sz w:val="22"/>
          <w:szCs w:val="22"/>
          <w:lang w:val="pl-PL" w:eastAsia="zh-CN" w:bidi="hi-IN"/>
        </w:rPr>
        <w:t>04 maja 2021</w:t>
      </w:r>
      <w:r>
        <w:rPr>
          <w:rFonts w:cs="Times New Roman" w:ascii="Times New Roman" w:hAnsi="Times New Roman"/>
          <w:b/>
          <w:sz w:val="22"/>
          <w:szCs w:val="22"/>
        </w:rPr>
        <w:t xml:space="preserve"> r.</w:t>
      </w:r>
      <w:r>
        <w:rPr>
          <w:rFonts w:cs="Times New Roman" w:ascii="Times New Roman" w:hAnsi="Times New Roman"/>
          <w:sz w:val="22"/>
          <w:szCs w:val="22"/>
        </w:rPr>
        <w:t xml:space="preserve">. W przypadku wpłaty wadium na konto w banku, przez wpłacenie wadium w terminie rozumie się uznanie w dniu </w:t>
      </w:r>
      <w:r>
        <w:rPr>
          <w:rFonts w:eastAsia="SimSun" w:cs="Times New Roman" w:ascii="Times New Roman" w:hAnsi="Times New Roman"/>
          <w:color w:val="00000A"/>
          <w:kern w:val="2"/>
          <w:sz w:val="22"/>
          <w:szCs w:val="22"/>
          <w:lang w:val="pl-PL" w:eastAsia="zh-CN" w:bidi="hi-IN"/>
        </w:rPr>
        <w:t>04 maja</w:t>
      </w:r>
      <w:r>
        <w:rPr>
          <w:rFonts w:cs="Times New Roman" w:ascii="Times New Roman" w:hAnsi="Times New Roman"/>
          <w:sz w:val="22"/>
          <w:szCs w:val="22"/>
        </w:rPr>
        <w:t xml:space="preserve"> br. rachunku bankowego Gminy wymaganą kwotą wadium. Przed otwarciem przetargu komisja przetargowa stwierdza wniesienie wadium.   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Wadium wpłacone przez uczestnika, który przetarg wygra zostanie zaliczone na poczet ceny nabycia. Pozostałym osobom wadium zwraca się w terminie 3 dni od zamknięcia przetargu. W przypadku uchylenia się uczestnika, który wygrał przetarg, od zawarcia umowy, wadium nie podlega zwrotowi.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Termin zapłaty – płatne do dnia zawarcia aktu notarialnego.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Nabywca zobowiązany jest do pokrycia kosztów związanych z nabyciem nieruchomości tj. zawarciem aktu notarialnego i wpisem do księgi wieczystej.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95" w:leader="none"/>
          <w:tab w:val="left" w:pos="720" w:leader="none"/>
        </w:tabs>
        <w:suppressAutoHyphens w:val="true"/>
        <w:bidi w:val="0"/>
        <w:spacing w:lineRule="atLeast" w:line="100"/>
        <w:ind w:left="283" w:right="0" w:hanging="283"/>
        <w:jc w:val="both"/>
        <w:textAlignment w:val="baseline"/>
        <w:rPr/>
      </w:pPr>
      <w:r>
        <w:rPr>
          <w:rFonts w:cs="Times New Roman" w:ascii="Times New Roman" w:hAnsi="Times New Roman"/>
          <w:sz w:val="22"/>
          <w:szCs w:val="22"/>
        </w:rPr>
        <w:t xml:space="preserve">Grunt wymaga uzyskania decyzji starosty w sprawie wyłączenia gruntów z produkcji rolnej w trybie przepisów ustawy z dnia 3 lutego 1995 r. </w:t>
      </w:r>
      <w:bookmarkStart w:id="0" w:name="__DdeLink__1377_2991657370"/>
      <w:r>
        <w:rPr>
          <w:rFonts w:cs="Times New Roman" w:ascii="Times New Roman" w:hAnsi="Times New Roman"/>
          <w:sz w:val="22"/>
          <w:szCs w:val="22"/>
        </w:rPr>
        <w:t xml:space="preserve">o ochronie gruntów rolnych i leśnych </w:t>
      </w:r>
      <w:bookmarkEnd w:id="0"/>
      <w:r>
        <w:rPr>
          <w:rFonts w:cs="Times New Roman" w:ascii="Times New Roman" w:hAnsi="Times New Roman"/>
          <w:sz w:val="22"/>
          <w:szCs w:val="22"/>
        </w:rPr>
        <w:t>(t.j. Dz. U. z 2017 r. poz. 1161, z 2020 r. poz. 471) co może wiązać się z naliczaniem opłat  z tytułu wyłączenia gruntów z produkcji rolnej. Zgodnie z art. 12a ww. ustawy obowiązek uiszczenia należności i opłat rocznych, nie dotyczy wyłączenia gruntów z produkcji rolnej na cele budownictwa mieszkaniowego do 0,05 ha w przypadku budynku mieszkalnego jednorodzinnego.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Szczegółowe informacje na temat nieruchomości oraz warunków przetargu można uzyskać w Urzędzie Miejskim w Opalenicy, ul. 3 Maja 1, pokój nr 28, tel. 697-873-219.</w:t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Zastrzega się prawo odwołania przetargu z uzasadnionej przyczyny.      </w:t>
      </w:r>
      <w:r>
        <w:rPr>
          <w:rFonts w:cs="Times New Roman" w:ascii="Times New Roman" w:hAnsi="Times New Roman"/>
        </w:rPr>
        <w:t xml:space="preserve">            </w:t>
      </w:r>
    </w:p>
    <w:sectPr>
      <w:type w:val="nextPage"/>
      <w:pgSz w:w="11906" w:h="16838"/>
      <w:pgMar w:left="1038" w:right="843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widowControl w:val="false"/>
      <w:bidi w:val="0"/>
      <w:spacing w:lineRule="auto" w:line="360"/>
      <w:jc w:val="both"/>
      <w:outlineLvl w:val="0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2">
    <w:name w:val="Heading 2"/>
    <w:basedOn w:val="Normal"/>
    <w:qFormat/>
    <w:pPr>
      <w:keepNext w:val="true"/>
      <w:widowControl w:val="false"/>
      <w:bidi w:val="0"/>
      <w:spacing w:lineRule="auto" w:line="360"/>
      <w:jc w:val="right"/>
      <w:outlineLvl w:val="1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Nagwek3">
    <w:name w:val="Heading 3"/>
    <w:basedOn w:val="Normal"/>
    <w:qFormat/>
    <w:pPr>
      <w:keepNext w:val="true"/>
      <w:widowControl w:val="false"/>
      <w:bidi w:val="0"/>
      <w:spacing w:lineRule="auto" w:line="360"/>
      <w:jc w:val="both"/>
      <w:outlineLvl w:val="2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Nagwek4">
    <w:name w:val="Heading 4"/>
    <w:basedOn w:val="Normal"/>
    <w:qFormat/>
    <w:pPr>
      <w:keepNext w:val="true"/>
      <w:widowControl w:val="false"/>
      <w:bidi w:val="0"/>
      <w:spacing w:lineRule="auto" w:line="360"/>
      <w:jc w:val="center"/>
      <w:outlineLvl w:val="3"/>
    </w:pPr>
    <w:rPr>
      <w:rFonts w:ascii="Liberation Serif" w:hAnsi="Liberation Serif" w:eastAsia="SimSun" w:cs="Mangal"/>
      <w:b/>
      <w:color w:val="00000A"/>
      <w:kern w:val="0"/>
      <w:sz w:val="28"/>
      <w:szCs w:val="20"/>
      <w:lang w:val="pl-PL" w:eastAsia="pl-PL" w:bidi="ar-SA"/>
    </w:rPr>
  </w:style>
  <w:style w:type="paragraph" w:styleId="Nagwek5">
    <w:name w:val="Heading 5"/>
    <w:basedOn w:val="Normal"/>
    <w:qFormat/>
    <w:pPr>
      <w:keepNext w:val="true"/>
      <w:widowControl w:val="false"/>
      <w:bidi w:val="0"/>
      <w:jc w:val="both"/>
      <w:outlineLvl w:val="4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6">
    <w:name w:val="Heading 6"/>
    <w:basedOn w:val="Normal"/>
    <w:qFormat/>
    <w:pPr>
      <w:keepNext w:val="true"/>
      <w:widowControl w:val="false"/>
      <w:bidi w:val="0"/>
      <w:spacing w:lineRule="auto" w:line="360"/>
      <w:jc w:val="both"/>
      <w:outlineLvl w:val="5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7">
    <w:name w:val="Heading 7"/>
    <w:basedOn w:val="Normal"/>
    <w:qFormat/>
    <w:pPr>
      <w:keepNext w:val="true"/>
      <w:widowControl w:val="false"/>
      <w:bidi w:val="0"/>
      <w:jc w:val="center"/>
      <w:outlineLvl w:val="6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8">
    <w:name w:val="Heading 8"/>
    <w:basedOn w:val="Normal"/>
    <w:qFormat/>
    <w:pPr>
      <w:keepNext w:val="true"/>
      <w:widowControl w:val="false"/>
      <w:bidi w:val="0"/>
      <w:spacing w:lineRule="auto" w:line="480"/>
      <w:jc w:val="center"/>
      <w:outlineLvl w:val="7"/>
    </w:pPr>
    <w:rPr>
      <w:rFonts w:ascii="Liberation Serif" w:hAnsi="Liberation Serif" w:eastAsia="SimSun" w:cs="Mangal"/>
      <w:b/>
      <w:color w:val="00000A"/>
      <w:kern w:val="0"/>
      <w:sz w:val="48"/>
      <w:szCs w:val="20"/>
      <w:lang w:val="pl-PL" w:eastAsia="pl-PL" w:bidi="ar-SA"/>
    </w:rPr>
  </w:style>
  <w:style w:type="paragraph" w:styleId="Nagwek9">
    <w:name w:val="Heading 9"/>
    <w:basedOn w:val="Normal"/>
    <w:qFormat/>
    <w:pPr>
      <w:keepNext w:val="true"/>
      <w:widowControl w:val="false"/>
      <w:bidi w:val="0"/>
      <w:spacing w:lineRule="auto" w:line="360"/>
      <w:jc w:val="both"/>
      <w:outlineLvl w:val="8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8Num94z0" w:customStyle="1">
    <w:name w:val="WW8Num94z0"/>
    <w:qFormat/>
    <w:rPr>
      <w:rFonts w:ascii="Symbol" w:hAnsi="Symbol" w:cs="Symbol"/>
    </w:rPr>
  </w:style>
  <w:style w:type="character" w:styleId="WWDomylnaczcionkaakapitu" w:customStyle="1">
    <w:name w:val="WW-Domyślna czcionka akapitu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WW8Num49z8" w:customStyle="1">
    <w:name w:val="WW8Num49z8"/>
    <w:qFormat/>
    <w:rPr/>
  </w:style>
  <w:style w:type="character" w:styleId="WW8Num49z7" w:customStyle="1">
    <w:name w:val="WW8Num49z7"/>
    <w:qFormat/>
    <w:rPr/>
  </w:style>
  <w:style w:type="character" w:styleId="WW8Num49z6" w:customStyle="1">
    <w:name w:val="WW8Num49z6"/>
    <w:qFormat/>
    <w:rPr/>
  </w:style>
  <w:style w:type="character" w:styleId="WW8Num49z5" w:customStyle="1">
    <w:name w:val="WW8Num49z5"/>
    <w:qFormat/>
    <w:rPr/>
  </w:style>
  <w:style w:type="character" w:styleId="WW8Num49z4" w:customStyle="1">
    <w:name w:val="WW8Num49z4"/>
    <w:qFormat/>
    <w:rPr/>
  </w:style>
  <w:style w:type="character" w:styleId="WW8Num49z3" w:customStyle="1">
    <w:name w:val="WW8Num49z3"/>
    <w:qFormat/>
    <w:rPr/>
  </w:style>
  <w:style w:type="character" w:styleId="WW8Num49z2" w:customStyle="1">
    <w:name w:val="WW8Num49z2"/>
    <w:qFormat/>
    <w:rPr/>
  </w:style>
  <w:style w:type="character" w:styleId="WW8Num49z1" w:customStyle="1">
    <w:name w:val="WW8Num49z1"/>
    <w:qFormat/>
    <w:rPr/>
  </w:style>
  <w:style w:type="character" w:styleId="WW8Num49z0" w:customStyle="1">
    <w:name w:val="WW8Num49z0"/>
    <w:qFormat/>
    <w:rPr>
      <w:b w:val="false"/>
      <w:sz w:val="24"/>
      <w:szCs w:val="24"/>
    </w:rPr>
  </w:style>
  <w:style w:type="character" w:styleId="WW8Num48z3" w:customStyle="1">
    <w:name w:val="WW8Num48z3"/>
    <w:qFormat/>
    <w:rPr>
      <w:rFonts w:ascii="Symbol" w:hAnsi="Symbol" w:cs="Symbol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0" w:customStyle="1">
    <w:name w:val="WW8Num48z0"/>
    <w:qFormat/>
    <w:rPr>
      <w:rFonts w:ascii="Symbol" w:hAnsi="Symbol" w:cs="Symbol"/>
      <w:sz w:val="22"/>
      <w:szCs w:val="22"/>
    </w:rPr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7z1" w:customStyle="1">
    <w:name w:val="WW8Num47z1"/>
    <w:qFormat/>
    <w:rPr>
      <w:rFonts w:ascii="Symbol" w:hAnsi="Symbol" w:cs="Symbol"/>
    </w:rPr>
  </w:style>
  <w:style w:type="character" w:styleId="WW8Num47z0" w:customStyle="1">
    <w:name w:val="WW8Num47z0"/>
    <w:qFormat/>
    <w:rPr/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8Num45z8" w:customStyle="1">
    <w:name w:val="WW8Num45z8"/>
    <w:qFormat/>
    <w:rPr/>
  </w:style>
  <w:style w:type="character" w:styleId="WW8Num45z7" w:customStyle="1">
    <w:name w:val="WW8Num45z7"/>
    <w:qFormat/>
    <w:rPr/>
  </w:style>
  <w:style w:type="character" w:styleId="WW8Num45z6" w:customStyle="1">
    <w:name w:val="WW8Num45z6"/>
    <w:qFormat/>
    <w:rPr/>
  </w:style>
  <w:style w:type="character" w:styleId="WW8Num45z5" w:customStyle="1">
    <w:name w:val="WW8Num45z5"/>
    <w:qFormat/>
    <w:rPr/>
  </w:style>
  <w:style w:type="character" w:styleId="WW8Num45z4" w:customStyle="1">
    <w:name w:val="WW8Num45z4"/>
    <w:qFormat/>
    <w:rPr/>
  </w:style>
  <w:style w:type="character" w:styleId="WW8Num45z3" w:customStyle="1">
    <w:name w:val="WW8Num45z3"/>
    <w:qFormat/>
    <w:rPr/>
  </w:style>
  <w:style w:type="character" w:styleId="WW8Num45z2" w:customStyle="1">
    <w:name w:val="WW8Num45z2"/>
    <w:qFormat/>
    <w:rPr/>
  </w:style>
  <w:style w:type="character" w:styleId="WW8Num45z1" w:customStyle="1">
    <w:name w:val="WW8Num45z1"/>
    <w:qFormat/>
    <w:rPr/>
  </w:style>
  <w:style w:type="character" w:styleId="WW8Num45z0" w:customStyle="1">
    <w:name w:val="WW8Num45z0"/>
    <w:qFormat/>
    <w:rPr/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4z2" w:customStyle="1">
    <w:name w:val="WW8Num44z2"/>
    <w:qFormat/>
    <w:rPr>
      <w:rFonts w:ascii="Wingdings" w:hAnsi="Wingdings" w:cs="Wingdings"/>
    </w:rPr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0" w:customStyle="1">
    <w:name w:val="WW8Num44z0"/>
    <w:qFormat/>
    <w:rPr>
      <w:rFonts w:ascii="Symbol" w:hAnsi="Symbol" w:cs="Symbol"/>
      <w:color w:val="000000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0" w:customStyle="1">
    <w:name w:val="WW8Num43z0"/>
    <w:qFormat/>
    <w:rPr>
      <w:rFonts w:ascii="Symbol" w:hAnsi="Symbol" w:cs="Symbol"/>
    </w:rPr>
  </w:style>
  <w:style w:type="character" w:styleId="WW8Num42z8" w:customStyle="1">
    <w:name w:val="WW8Num42z8"/>
    <w:qFormat/>
    <w:rPr/>
  </w:style>
  <w:style w:type="character" w:styleId="WW8Num42z7" w:customStyle="1">
    <w:name w:val="WW8Num42z7"/>
    <w:qFormat/>
    <w:rPr/>
  </w:style>
  <w:style w:type="character" w:styleId="WW8Num42z6" w:customStyle="1">
    <w:name w:val="WW8Num42z6"/>
    <w:qFormat/>
    <w:rPr/>
  </w:style>
  <w:style w:type="character" w:styleId="WW8Num42z5" w:customStyle="1">
    <w:name w:val="WW8Num42z5"/>
    <w:qFormat/>
    <w:rPr/>
  </w:style>
  <w:style w:type="character" w:styleId="WW8Num42z4" w:customStyle="1">
    <w:name w:val="WW8Num42z4"/>
    <w:qFormat/>
    <w:rPr/>
  </w:style>
  <w:style w:type="character" w:styleId="WW8Num42z3" w:customStyle="1">
    <w:name w:val="WW8Num42z3"/>
    <w:qFormat/>
    <w:rPr/>
  </w:style>
  <w:style w:type="character" w:styleId="WW8Num42z2" w:customStyle="1">
    <w:name w:val="WW8Num42z2"/>
    <w:qFormat/>
    <w:rPr/>
  </w:style>
  <w:style w:type="character" w:styleId="WW8Num42z1" w:customStyle="1">
    <w:name w:val="WW8Num42z1"/>
    <w:qFormat/>
    <w:rPr/>
  </w:style>
  <w:style w:type="character" w:styleId="WW8Num42z0" w:customStyle="1">
    <w:name w:val="WW8Num42z0"/>
    <w:qFormat/>
    <w:rPr/>
  </w:style>
  <w:style w:type="character" w:styleId="WW8Num41z3" w:customStyle="1">
    <w:name w:val="WW8Num41z3"/>
    <w:qFormat/>
    <w:rPr>
      <w:rFonts w:ascii="Symbol" w:hAnsi="Symbol" w:cs="Symbol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0" w:customStyle="1">
    <w:name w:val="WW8Num41z0"/>
    <w:qFormat/>
    <w:rPr>
      <w:rFonts w:ascii="Symbol" w:hAnsi="Symbol" w:cs="Symbol"/>
      <w:color w:val="000000"/>
      <w:sz w:val="22"/>
      <w:szCs w:val="22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  <w:sz w:val="22"/>
      <w:szCs w:val="22"/>
    </w:rPr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/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0" w:customStyle="1">
    <w:name w:val="WW8Num38z0"/>
    <w:qFormat/>
    <w:rPr>
      <w:rFonts w:ascii="Symbol" w:hAnsi="Symbol" w:cs="Symbol"/>
      <w:sz w:val="22"/>
      <w:szCs w:val="22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6z2" w:customStyle="1">
    <w:name w:val="WW8Num36z2"/>
    <w:qFormat/>
    <w:rPr/>
  </w:style>
  <w:style w:type="character" w:styleId="WW8Num36z1" w:customStyle="1">
    <w:name w:val="WW8Num36z1"/>
    <w:qFormat/>
    <w:rPr/>
  </w:style>
  <w:style w:type="character" w:styleId="WW8Num36z0" w:customStyle="1">
    <w:name w:val="WW8Num36z0"/>
    <w:qFormat/>
    <w:rPr/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34z2" w:customStyle="1">
    <w:name w:val="WW8Num34z2"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/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0" w:customStyle="1">
    <w:name w:val="WW8Num32z0"/>
    <w:qFormat/>
    <w:rPr>
      <w:rFonts w:ascii="Symbol" w:hAnsi="Symbol" w:cs="Symbol"/>
      <w:color w:val="000000"/>
      <w:sz w:val="22"/>
      <w:szCs w:val="22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Symbol" w:hAnsi="Symbol" w:cs="Symbol"/>
      <w:color w:val="000000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0" w:customStyle="1">
    <w:name w:val="WW8Num30z0"/>
    <w:qFormat/>
    <w:rPr>
      <w:rFonts w:ascii="Symbol" w:hAnsi="Symbol" w:cs="Symbol"/>
      <w:sz w:val="24"/>
      <w:szCs w:val="24"/>
    </w:rPr>
  </w:style>
  <w:style w:type="character" w:styleId="WW8Num29z0" w:customStyle="1">
    <w:name w:val="WW8Num29z0"/>
    <w:qFormat/>
    <w:rPr>
      <w:rFonts w:ascii="Symbol" w:hAnsi="Symbol" w:cs="Symbol"/>
      <w:sz w:val="22"/>
      <w:szCs w:val="22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/>
  </w:style>
  <w:style w:type="character" w:styleId="WW8Num27z2" w:customStyle="1">
    <w:name w:val="WW8Num27z2"/>
    <w:qFormat/>
    <w:rPr/>
  </w:style>
  <w:style w:type="character" w:styleId="WW8Num27z1" w:customStyle="1">
    <w:name w:val="WW8Num27z1"/>
    <w:qFormat/>
    <w:rPr/>
  </w:style>
  <w:style w:type="character" w:styleId="WW8Num27z0" w:customStyle="1">
    <w:name w:val="WW8Num27z0"/>
    <w:qFormat/>
    <w:rPr/>
  </w:style>
  <w:style w:type="character" w:styleId="WW8Num26z0" w:customStyle="1">
    <w:name w:val="WW8Num26z0"/>
    <w:qFormat/>
    <w:rPr>
      <w:rFonts w:ascii="StarSymbol, 'Times New Roman'" w:hAnsi="StarSymbol, 'Times New Roman'" w:cs="StarSymbol, 'Times New Roman'"/>
    </w:rPr>
  </w:style>
  <w:style w:type="character" w:styleId="WW8Num25z0" w:customStyle="1">
    <w:name w:val="WW8Num25z0"/>
    <w:qFormat/>
    <w:rPr>
      <w:rFonts w:ascii="StarSymbol, 'Times New Roman'" w:hAnsi="StarSymbol, 'Times New Roman'" w:cs="StarSymbol, 'Times New Roman'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StarSymbol, 'Times New Roman'" w:hAnsi="StarSymbol, 'Times New Roman'" w:cs="StarSymbol, 'Times New Roman'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tarSymbol, 'Times New Roman'" w:hAnsi="StarSymbol, 'Times New Roman'" w:cs="StarSymbol, 'Times New Roman'"/>
    </w:rPr>
  </w:style>
  <w:style w:type="character" w:styleId="WW8Num17z0" w:customStyle="1">
    <w:name w:val="WW8Num17z0"/>
    <w:qFormat/>
    <w:rPr>
      <w:rFonts w:ascii="Symbol" w:hAnsi="Symbol" w:cs="Symbol"/>
      <w:color w:val="FF0000"/>
      <w:position w:val="0"/>
      <w:sz w:val="22"/>
      <w:sz w:val="22"/>
      <w:szCs w:val="22"/>
      <w:vertAlign w:val="baseline"/>
    </w:rPr>
  </w:style>
  <w:style w:type="character" w:styleId="WW8Num16z0" w:customStyle="1">
    <w:name w:val="WW8Num16z0"/>
    <w:qFormat/>
    <w:rPr>
      <w:rFonts w:ascii="StarSymbol, 'Times New Roman'" w:hAnsi="StarSymbol, 'Times New Roman'" w:cs="StarSymbol, 'Times New Roman'"/>
      <w:sz w:val="24"/>
      <w:vertAlign w:val="superscript"/>
    </w:rPr>
  </w:style>
  <w:style w:type="character" w:styleId="WW8Num15z0" w:customStyle="1">
    <w:name w:val="WW8Num15z0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1z0" w:customStyle="1">
    <w:name w:val="WW8Num11z0"/>
    <w:qFormat/>
    <w:rPr>
      <w:sz w:val="24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9z0" w:customStyle="1">
    <w:name w:val="WW8Num9z0"/>
    <w:qFormat/>
    <w:rPr>
      <w:sz w:val="24"/>
    </w:rPr>
  </w:style>
  <w:style w:type="character" w:styleId="WW8Num8z0" w:customStyle="1">
    <w:name w:val="WW8Num8z0"/>
    <w:qFormat/>
    <w:rPr>
      <w:rFonts w:ascii="Symbol" w:hAnsi="Symbol" w:cs="Symbol"/>
      <w:color w:val="FF0000"/>
      <w:sz w:val="22"/>
      <w:szCs w:val="22"/>
      <w:vertAlign w:val="superscript"/>
    </w:rPr>
  </w:style>
  <w:style w:type="character" w:styleId="WW8Num7z0" w:customStyle="1">
    <w:name w:val="WW8Num7z0"/>
    <w:qFormat/>
    <w:rPr>
      <w:rFonts w:ascii="StarSymbol, 'Times New Roman'" w:hAnsi="StarSymbol, 'Times New Roman'" w:cs="StarSymbol, 'Times New Roman'"/>
    </w:rPr>
  </w:style>
  <w:style w:type="character" w:styleId="WW8Num6z0" w:customStyle="1">
    <w:name w:val="WW8Num6z0"/>
    <w:qFormat/>
    <w:rPr>
      <w:rFonts w:ascii="Symbol" w:hAnsi="Symbol" w:cs="Symbol"/>
      <w:sz w:val="24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>
      <w:rFonts w:ascii="Symbol" w:hAnsi="Symbol" w:cs="Symbol"/>
      <w:sz w:val="24"/>
    </w:rPr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Standard"/>
    <w:qFormat/>
    <w:pPr/>
    <w:rPr/>
  </w:style>
  <w:style w:type="paragraph" w:styleId="Endnote" w:customStyle="1">
    <w:name w:val="Endnote"/>
    <w:basedOn w:val="Standard"/>
    <w:qFormat/>
    <w:pPr/>
    <w:rPr/>
  </w:style>
  <w:style w:type="paragraph" w:styleId="WWTekstpodstawowy3" w:customStyle="1">
    <w:name w:val="WW-Tekst podstawowy 3"/>
    <w:basedOn w:val="Standard"/>
    <w:qFormat/>
    <w:pPr>
      <w:jc w:val="both"/>
    </w:pPr>
    <w:rPr>
      <w:b/>
    </w:rPr>
  </w:style>
  <w:style w:type="paragraph" w:styleId="WWTekstpodstawowy2" w:customStyle="1">
    <w:name w:val="WW-Tekst podstawowy 2"/>
    <w:basedOn w:val="Standard"/>
    <w:qFormat/>
    <w:pPr>
      <w:spacing w:lineRule="auto" w:line="360"/>
    </w:pPr>
    <w:rPr/>
  </w:style>
  <w:style w:type="paragraph" w:styleId="WWTekstpodstawowywcity2" w:customStyle="1">
    <w:name w:val="WW-Tekst podstawowy wcięty 2"/>
    <w:basedOn w:val="Standard"/>
    <w:qFormat/>
    <w:pPr>
      <w:spacing w:lineRule="auto" w:line="360"/>
      <w:ind w:right="-27" w:hanging="84"/>
      <w:jc w:val="both"/>
    </w:pPr>
    <w:rPr/>
  </w:style>
  <w:style w:type="paragraph" w:styleId="Podtytu">
    <w:name w:val="Subtitle"/>
    <w:basedOn w:val="Standard"/>
    <w:qFormat/>
    <w:pPr>
      <w:spacing w:lineRule="auto" w:line="360"/>
      <w:jc w:val="center"/>
    </w:pPr>
    <w:rPr>
      <w:b/>
      <w:sz w:val="28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Nagwek11" w:customStyle="1">
    <w:name w:val="Nagłówek1"/>
    <w:basedOn w:val="Standard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xtbodyindent" w:customStyle="1">
    <w:name w:val="Text body indent"/>
    <w:basedOn w:val="Standard"/>
    <w:qFormat/>
    <w:pPr>
      <w:spacing w:lineRule="auto" w:line="360"/>
      <w:ind w:left="36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ul. Jodłowa Ogłoszenie o przetargu.dot</Template>
  <TotalTime>180</TotalTime>
  <Application>LibreOffice/6.4.2.2$Windows_X86_64 LibreOffice_project/4e471d8c02c9c90f512f7f9ead8875b57fcb1ec3</Application>
  <Pages>1</Pages>
  <Words>571</Words>
  <Characters>3292</Characters>
  <CharactersWithSpaces>3859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2019-08-15T13:44:00Z</dcterms:created>
  <dc:creator>Justyna</dc:creator>
  <dc:description/>
  <dc:language>pl-PL</dc:language>
  <cp:lastModifiedBy/>
  <cp:lastPrinted>2020-09-01T10:20:30Z</cp:lastPrinted>
  <dcterms:modified xsi:type="dcterms:W3CDTF">2021-03-25T13:32:29Z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ja 1">
    <vt:lpwstr/>
  </property>
  <property fmtid="{D5CDD505-2E9C-101B-9397-08002B2CF9AE}" pid="6" name="Informacja 2">
    <vt:lpwstr/>
  </property>
  <property fmtid="{D5CDD505-2E9C-101B-9397-08002B2CF9AE}" pid="7" name="Informacja 3">
    <vt:lpwstr/>
  </property>
  <property fmtid="{D5CDD505-2E9C-101B-9397-08002B2CF9AE}" pid="8" name="Informacja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